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Mölndal kommunfullmäktige</w:t>
      </w:r>
    </w:p>
    <w:p>
      <w:pPr>
        <w:pStyle w:val="Heading1"/>
      </w:pPr>
      <w:r>
        <w:t xml:space="preserve">Fler hyresrätter via Mölndalsbostäder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Socialdemokraterna i Mölndal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Mölndalsbostäder har 1 800 personer i kö (2025) och nyproduktionen av hyresrätter har varit låg de senaste åren. Behovet är stort bland unga och nyanlända.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Socialdemokraterna i Mölndal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ger Mölndalsbostäder i uppdrag att påbörja byggnation av minst 300 nya hyresrätter under mandatperioden.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minst 40 % av de nya lägenheterna ska vara mindre lägenheter för unga.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markanvisningar prioriteras på kommunal mark i centrala Mölndal och Lindome.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en årlig rapport om bostadsproduktionen lämnas till fullmäktige.</w:t>
      </w:r>
    </w:p>
    <w:p>
      <w:pPr>
        <w:spacing w:before="360"/>
      </w:pPr>
    </w:p>
    <w:p>
      <w:r>
        <w:t xml:space="preserve">Mölndal, 2026-07-14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Socialdemokraterna i Mölndal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2026-07-14T00:54:11.489Z</dcterms:created>
  <dcterms:modified xsi:type="dcterms:W3CDTF">2026-07-14T00:54:11.489Z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